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660DE0" w:rsidP="00AA1C16">
      <w:pPr>
        <w:rPr>
          <w:rFonts w:cstheme="minorHAnsi"/>
        </w:rPr>
      </w:pPr>
      <w:r>
        <w:rPr>
          <w:rFonts w:cstheme="minorHAnsi"/>
        </w:rPr>
        <w:t>Załącznik nr 1.</w:t>
      </w:r>
      <w:r w:rsidR="005A2530">
        <w:rPr>
          <w:rFonts w:cstheme="minorHAnsi"/>
        </w:rPr>
        <w:t>10</w:t>
      </w:r>
      <w:r w:rsidR="00AA1C16"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660DE0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 xml:space="preserve">Część </w:t>
      </w:r>
      <w:r w:rsidR="005A2530">
        <w:rPr>
          <w:rFonts w:eastAsia="Calibri" w:cstheme="minorHAnsi"/>
        </w:rPr>
        <w:t>10</w:t>
      </w:r>
      <w:r w:rsidR="00AA1C16" w:rsidRPr="00AA1C16">
        <w:rPr>
          <w:rFonts w:eastAsia="Calibri" w:cstheme="minorHAnsi"/>
        </w:rPr>
        <w:t xml:space="preserve"> - </w:t>
      </w:r>
      <w:r w:rsidR="005A2530">
        <w:t>Szkolenie z konfiguracji i zarządzania systemami sterowania nagłośnieniem</w:t>
      </w:r>
      <w:r w:rsidR="00D820E9">
        <w:tab/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1C53C2" w:rsidP="00AA1C16">
      <w:pPr>
        <w:spacing w:after="120" w:line="288" w:lineRule="auto"/>
        <w:ind w:left="425" w:right="28"/>
        <w:rPr>
          <w:rFonts w:eastAsia="Calibri" w:cstheme="minorHAnsi"/>
        </w:rPr>
      </w:pPr>
      <w:r>
        <w:rPr>
          <w:rFonts w:eastAsia="Calibri" w:cstheme="minorHAnsi"/>
        </w:rPr>
        <w:tab/>
        <w:t xml:space="preserve">c.j. x </w:t>
      </w:r>
      <w:r w:rsidR="00D820E9">
        <w:rPr>
          <w:rFonts w:eastAsia="Calibri" w:cstheme="minorHAnsi"/>
        </w:rPr>
        <w:t>1</w:t>
      </w:r>
      <w:r w:rsidR="00AA1C16" w:rsidRPr="00AA1C16">
        <w:rPr>
          <w:rFonts w:eastAsia="Calibri" w:cstheme="minorHAnsi"/>
        </w:rPr>
        <w:t xml:space="preserve">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9E7" w:rsidRDefault="00F609E7" w:rsidP="003119EF">
      <w:pPr>
        <w:spacing w:after="0" w:line="240" w:lineRule="auto"/>
      </w:pPr>
      <w:r>
        <w:separator/>
      </w:r>
    </w:p>
  </w:endnote>
  <w:endnote w:type="continuationSeparator" w:id="1">
    <w:p w:rsidR="00F609E7" w:rsidRDefault="00F609E7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5A2530" w:rsidRPr="005A2530">
        <w:rPr>
          <w:rFonts w:asciiTheme="majorHAnsi" w:hAnsiTheme="majorHAnsi"/>
          <w:noProof/>
        </w:rPr>
        <w:t>3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9E7" w:rsidRDefault="00F609E7" w:rsidP="003119EF">
      <w:pPr>
        <w:spacing w:after="0" w:line="240" w:lineRule="auto"/>
      </w:pPr>
      <w:r>
        <w:separator/>
      </w:r>
    </w:p>
  </w:footnote>
  <w:footnote w:type="continuationSeparator" w:id="1">
    <w:p w:rsidR="00F609E7" w:rsidRDefault="00F609E7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196195"/>
    <w:rsid w:val="001C53C2"/>
    <w:rsid w:val="002569B3"/>
    <w:rsid w:val="003119EF"/>
    <w:rsid w:val="00517C29"/>
    <w:rsid w:val="005A2530"/>
    <w:rsid w:val="005A56A9"/>
    <w:rsid w:val="006456FA"/>
    <w:rsid w:val="00660DE0"/>
    <w:rsid w:val="00666E6D"/>
    <w:rsid w:val="006806C3"/>
    <w:rsid w:val="00724F47"/>
    <w:rsid w:val="00741703"/>
    <w:rsid w:val="007E2FC4"/>
    <w:rsid w:val="00854443"/>
    <w:rsid w:val="00980B9A"/>
    <w:rsid w:val="00A442BD"/>
    <w:rsid w:val="00AA1C16"/>
    <w:rsid w:val="00AB7730"/>
    <w:rsid w:val="00BB5ED2"/>
    <w:rsid w:val="00C0790F"/>
    <w:rsid w:val="00D17930"/>
    <w:rsid w:val="00D17990"/>
    <w:rsid w:val="00D77A1E"/>
    <w:rsid w:val="00D820E9"/>
    <w:rsid w:val="00DF21CB"/>
    <w:rsid w:val="00E179E8"/>
    <w:rsid w:val="00E17B30"/>
    <w:rsid w:val="00ED51D4"/>
    <w:rsid w:val="00F609E7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0</TotalTime>
  <Pages>3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2</cp:revision>
  <dcterms:created xsi:type="dcterms:W3CDTF">2026-01-21T19:21:00Z</dcterms:created>
  <dcterms:modified xsi:type="dcterms:W3CDTF">2026-01-21T19:21:00Z</dcterms:modified>
</cp:coreProperties>
</file>